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AB" w:rsidRPr="00EE52AB" w:rsidRDefault="00EE52AB" w:rsidP="00EE52AB">
      <w:pPr>
        <w:tabs>
          <w:tab w:val="left" w:pos="5096"/>
        </w:tabs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E52AB">
        <w:rPr>
          <w:rFonts w:ascii="Times New Roman" w:eastAsia="Times New Roman" w:hAnsi="Times New Roman"/>
          <w:i/>
          <w:sz w:val="28"/>
          <w:szCs w:val="28"/>
        </w:rPr>
        <w:t xml:space="preserve">Mẫu </w:t>
      </w:r>
      <w:r w:rsidR="00006732">
        <w:rPr>
          <w:rFonts w:ascii="Times New Roman" w:eastAsia="Times New Roman" w:hAnsi="Times New Roman"/>
          <w:i/>
          <w:sz w:val="28"/>
          <w:szCs w:val="28"/>
        </w:rPr>
        <w:t>2</w:t>
      </w:r>
      <w:r w:rsidRPr="00EE52AB">
        <w:rPr>
          <w:rFonts w:ascii="Times New Roman" w:eastAsia="Times New Roman" w:hAnsi="Times New Roman"/>
          <w:i/>
          <w:sz w:val="28"/>
          <w:szCs w:val="28"/>
        </w:rPr>
        <w:t>:</w:t>
      </w:r>
      <w:r w:rsidR="002631A6">
        <w:rPr>
          <w:rFonts w:ascii="Times New Roman" w:eastAsia="Times New Roman" w:hAnsi="Times New Roman"/>
          <w:i/>
          <w:sz w:val="28"/>
          <w:szCs w:val="28"/>
        </w:rPr>
        <w:t xml:space="preserve"> Dùng cho</w:t>
      </w:r>
      <w:r w:rsidRPr="00EE52AB">
        <w:rPr>
          <w:rFonts w:ascii="Times New Roman" w:eastAsia="Times New Roman" w:hAnsi="Times New Roman"/>
          <w:i/>
          <w:sz w:val="28"/>
          <w:szCs w:val="28"/>
        </w:rPr>
        <w:t xml:space="preserve"> Công đoàn cơ sở</w:t>
      </w:r>
    </w:p>
    <w:p w:rsidR="00EE52AB" w:rsidRDefault="00EE52AB" w:rsidP="00021CD9">
      <w:pPr>
        <w:tabs>
          <w:tab w:val="left" w:pos="509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59A5" w:rsidRDefault="00F559A5" w:rsidP="00021CD9">
      <w:pPr>
        <w:tabs>
          <w:tab w:val="left" w:pos="5096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ĐỀ CƯƠNG BÁO BÁO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Sơ kết 5 năm thực hiện Nghị quyết số 12b/NQ-BCH ngày 12/7/2017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</w:t>
      </w:r>
      <w:r>
        <w:rPr>
          <w:rFonts w:ascii="Times New Roman" w:hAnsi="Times New Roman"/>
          <w:b/>
          <w:spacing w:val="-6"/>
          <w:sz w:val="28"/>
          <w:szCs w:val="28"/>
        </w:rPr>
        <w:t>Đoàn Chủ tịch Tổng Liên đoàn Lao động Việt Nam (Khóa XI)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59A5" w:rsidRDefault="00F559A5" w:rsidP="00021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về </w:t>
      </w:r>
      <w:r w:rsidR="00006732">
        <w:rPr>
          <w:rFonts w:ascii="Times New Roman" w:hAnsi="Times New Roman"/>
          <w:b/>
          <w:spacing w:val="-6"/>
          <w:sz w:val="28"/>
          <w:szCs w:val="28"/>
        </w:rPr>
        <w:t>Ban Nữ công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quần chúng </w:t>
      </w:r>
    </w:p>
    <w:p w:rsidR="00F559A5" w:rsidRDefault="00F559A5" w:rsidP="00F559A5">
      <w:pPr>
        <w:spacing w:before="80" w:after="8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(Kèm theo Hướng dẫn số: </w:t>
      </w:r>
      <w:r w:rsidR="00712CD9">
        <w:rPr>
          <w:rFonts w:ascii="Times New Roman" w:hAnsi="Times New Roman"/>
          <w:i/>
          <w:sz w:val="28"/>
          <w:szCs w:val="28"/>
        </w:rPr>
        <w:t>135</w:t>
      </w:r>
      <w:r>
        <w:rPr>
          <w:rFonts w:ascii="Times New Roman" w:hAnsi="Times New Roman"/>
          <w:i/>
          <w:sz w:val="28"/>
          <w:szCs w:val="28"/>
        </w:rPr>
        <w:t xml:space="preserve">/HD-CĐNH ngày </w:t>
      </w:r>
      <w:r w:rsidR="00712CD9">
        <w:rPr>
          <w:rFonts w:ascii="Times New Roman" w:hAnsi="Times New Roman"/>
          <w:i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/3/2022)</w:t>
      </w:r>
    </w:p>
    <w:p w:rsidR="00F559A5" w:rsidRPr="005F65AE" w:rsidRDefault="00F559A5" w:rsidP="005F65AE">
      <w:pPr>
        <w:pStyle w:val="ListParagraph"/>
        <w:numPr>
          <w:ilvl w:val="0"/>
          <w:numId w:val="3"/>
        </w:numPr>
        <w:spacing w:before="80" w:after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65AE">
        <w:rPr>
          <w:rFonts w:ascii="Times New Roman" w:eastAsia="Times New Roman" w:hAnsi="Times New Roman"/>
          <w:b/>
          <w:sz w:val="28"/>
          <w:szCs w:val="28"/>
        </w:rPr>
        <w:t>ĐẶC ĐIỂM, TÌNH HÌNH CHUNG</w:t>
      </w:r>
      <w:r w:rsidR="00EE52AB" w:rsidRPr="005F65AE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5F65AE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F65AE" w:rsidRPr="005F65AE" w:rsidRDefault="005F65AE" w:rsidP="005F65AE">
      <w:pPr>
        <w:pStyle w:val="ListParagraph"/>
        <w:numPr>
          <w:ilvl w:val="0"/>
          <w:numId w:val="4"/>
        </w:numPr>
        <w:spacing w:before="80" w:after="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Số liệu </w:t>
      </w:r>
      <w:r w:rsidR="00006732">
        <w:rPr>
          <w:rFonts w:ascii="Times New Roman" w:eastAsia="Times New Roman" w:hAnsi="Times New Roman"/>
          <w:b/>
          <w:sz w:val="28"/>
          <w:szCs w:val="28"/>
        </w:rPr>
        <w:t>Ban Nữ công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06732">
        <w:rPr>
          <w:rFonts w:ascii="Times New Roman" w:eastAsia="Times New Roman" w:hAnsi="Times New Roman"/>
          <w:b/>
          <w:sz w:val="28"/>
          <w:szCs w:val="28"/>
        </w:rPr>
        <w:t xml:space="preserve">(BNC) </w:t>
      </w:r>
      <w:r>
        <w:rPr>
          <w:rFonts w:ascii="Times New Roman" w:eastAsia="Times New Roman" w:hAnsi="Times New Roman"/>
          <w:b/>
          <w:sz w:val="28"/>
          <w:szCs w:val="28"/>
        </w:rPr>
        <w:t>quần chúng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47"/>
        <w:gridCol w:w="5627"/>
        <w:gridCol w:w="1559"/>
        <w:gridCol w:w="1560"/>
      </w:tblGrid>
      <w:tr w:rsidR="00EE52AB" w:rsidRPr="00EE52AB" w:rsidTr="00006732">
        <w:trPr>
          <w:trHeight w:val="605"/>
        </w:trPr>
        <w:tc>
          <w:tcPr>
            <w:tcW w:w="747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STT</w:t>
            </w:r>
          </w:p>
        </w:tc>
        <w:tc>
          <w:tcPr>
            <w:tcW w:w="5627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NỘI DUNG</w:t>
            </w:r>
          </w:p>
        </w:tc>
        <w:tc>
          <w:tcPr>
            <w:tcW w:w="1559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SỐ LƯỢNG</w:t>
            </w:r>
          </w:p>
        </w:tc>
        <w:tc>
          <w:tcPr>
            <w:tcW w:w="1560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  <w:r w:rsidRPr="00EE52AB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GHI CHÚ</w:t>
            </w:r>
          </w:p>
        </w:tc>
      </w:tr>
      <w:tr w:rsidR="005F65AE" w:rsidRPr="00006732" w:rsidTr="00006732">
        <w:trPr>
          <w:trHeight w:val="446"/>
        </w:trPr>
        <w:tc>
          <w:tcPr>
            <w:tcW w:w="747" w:type="dxa"/>
            <w:vAlign w:val="center"/>
          </w:tcPr>
          <w:p w:rsidR="005F65AE" w:rsidRPr="00006732" w:rsidRDefault="005F65AE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2631A6" w:rsidRDefault="002631A6" w:rsidP="002631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Tổng số CNVCLĐ </w:t>
            </w:r>
          </w:p>
          <w:p w:rsidR="005F65AE" w:rsidRPr="00006732" w:rsidRDefault="002631A6" w:rsidP="002631A6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Số nữ CNVCLĐ</w:t>
            </w:r>
          </w:p>
        </w:tc>
        <w:tc>
          <w:tcPr>
            <w:tcW w:w="1559" w:type="dxa"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</w:tr>
      <w:tr w:rsidR="00EE52AB" w:rsidRPr="00EE52AB" w:rsidTr="00006732">
        <w:trPr>
          <w:trHeight w:val="403"/>
        </w:trPr>
        <w:tc>
          <w:tcPr>
            <w:tcW w:w="747" w:type="dxa"/>
            <w:vAlign w:val="center"/>
          </w:tcPr>
          <w:p w:rsidR="00EE52AB" w:rsidRPr="00EE52AB" w:rsidRDefault="00EE52AB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EE52AB" w:rsidRPr="00EE52AB" w:rsidRDefault="00EE52AB" w:rsidP="007E429E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EE52AB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Số ủy viên </w:t>
            </w:r>
            <w:r w:rsid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BNC</w:t>
            </w:r>
            <w:r w:rsidR="00006732"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CĐCS</w:t>
            </w:r>
          </w:p>
        </w:tc>
        <w:tc>
          <w:tcPr>
            <w:tcW w:w="1559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E52AB" w:rsidRPr="00EE52AB" w:rsidRDefault="00EE52AB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</w:tr>
      <w:tr w:rsidR="005F65AE" w:rsidRPr="00006732" w:rsidTr="00006732">
        <w:trPr>
          <w:trHeight w:val="553"/>
        </w:trPr>
        <w:tc>
          <w:tcPr>
            <w:tcW w:w="747" w:type="dxa"/>
            <w:vAlign w:val="center"/>
          </w:tcPr>
          <w:p w:rsidR="005F65AE" w:rsidRPr="00006732" w:rsidRDefault="005F65AE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5F65AE" w:rsidRPr="00006732" w:rsidRDefault="005F65AE" w:rsidP="007E429E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Số cuộc tham gia kiểm tra, giám sát thực hiện chính sách pháp luật đối với lao động nữ</w:t>
            </w:r>
          </w:p>
        </w:tc>
        <w:tc>
          <w:tcPr>
            <w:tcW w:w="1559" w:type="dxa"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F65AE" w:rsidRPr="00006732" w:rsidRDefault="002631A6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Số liệu tổng hợp giai đoạn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(201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7</w:t>
            </w:r>
            <w:r w:rsidRPr="005F65AE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-2022)</w:t>
            </w:r>
          </w:p>
        </w:tc>
      </w:tr>
      <w:tr w:rsidR="005F65AE" w:rsidRPr="00006732" w:rsidTr="00006732">
        <w:trPr>
          <w:trHeight w:val="553"/>
        </w:trPr>
        <w:tc>
          <w:tcPr>
            <w:tcW w:w="747" w:type="dxa"/>
            <w:vAlign w:val="center"/>
          </w:tcPr>
          <w:p w:rsidR="005F65AE" w:rsidRPr="00006732" w:rsidRDefault="005F65AE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5F65AE" w:rsidRPr="00006732" w:rsidRDefault="005F65AE" w:rsidP="007E429E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Số cuộc tuyên truyền về chính sách, pháp luật, bình đẳng giới, dân số - gia đình - trẻ em cho lao động nữ</w:t>
            </w:r>
          </w:p>
        </w:tc>
        <w:tc>
          <w:tcPr>
            <w:tcW w:w="1559" w:type="dxa"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</w:tr>
      <w:tr w:rsidR="005F65AE" w:rsidRPr="00006732" w:rsidTr="00006732">
        <w:trPr>
          <w:trHeight w:val="553"/>
        </w:trPr>
        <w:tc>
          <w:tcPr>
            <w:tcW w:w="747" w:type="dxa"/>
            <w:vAlign w:val="center"/>
          </w:tcPr>
          <w:p w:rsidR="005F65AE" w:rsidRPr="00006732" w:rsidRDefault="005F65AE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5F65AE" w:rsidRPr="00006732" w:rsidRDefault="005F65AE" w:rsidP="007E429E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Số lượng con CNVCLĐ được hỗ trợ học bổng, tuyên dương, khen thưởng</w:t>
            </w:r>
          </w:p>
        </w:tc>
        <w:tc>
          <w:tcPr>
            <w:tcW w:w="1559" w:type="dxa"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5F65AE" w:rsidRPr="00006732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</w:tr>
      <w:tr w:rsidR="005F65AE" w:rsidRPr="00006732" w:rsidTr="00006732">
        <w:trPr>
          <w:trHeight w:val="634"/>
        </w:trPr>
        <w:tc>
          <w:tcPr>
            <w:tcW w:w="747" w:type="dxa"/>
            <w:vAlign w:val="center"/>
          </w:tcPr>
          <w:p w:rsidR="005F65AE" w:rsidRPr="00EE52AB" w:rsidRDefault="005F65AE" w:rsidP="00006732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5F65AE" w:rsidRPr="00006732" w:rsidRDefault="00006732" w:rsidP="00006732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Số cuộc t</w:t>
            </w:r>
            <w:r w:rsidR="005F65AE"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ập huấn công tác nữ công cho cán bộ chủ chốt công đoàn và trưởng </w:t>
            </w:r>
            <w:r w:rsidRPr="00006732">
              <w:rPr>
                <w:rFonts w:ascii="Times New Roman" w:eastAsia="Times New Roman" w:hAnsi="Times New Roman"/>
                <w:sz w:val="28"/>
                <w:szCs w:val="28"/>
              </w:rPr>
              <w:t>BNC</w:t>
            </w:r>
            <w:r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="005F65AE" w:rsidRPr="00006732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công đoàn</w:t>
            </w:r>
          </w:p>
        </w:tc>
        <w:tc>
          <w:tcPr>
            <w:tcW w:w="1559" w:type="dxa"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5F65AE" w:rsidRPr="00EE52AB" w:rsidRDefault="005F65AE" w:rsidP="007E4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</w:tr>
      <w:tr w:rsidR="002631A6" w:rsidRPr="00006732" w:rsidTr="00006732">
        <w:trPr>
          <w:trHeight w:val="748"/>
        </w:trPr>
        <w:tc>
          <w:tcPr>
            <w:tcW w:w="747" w:type="dxa"/>
            <w:vAlign w:val="center"/>
          </w:tcPr>
          <w:p w:rsidR="002631A6" w:rsidRPr="00EE52AB" w:rsidRDefault="002631A6" w:rsidP="002631A6">
            <w:pPr>
              <w:pStyle w:val="ListParagraph"/>
              <w:numPr>
                <w:ilvl w:val="0"/>
                <w:numId w:val="5"/>
              </w:numPr>
              <w:ind w:left="0"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2631A6" w:rsidRPr="002631A6" w:rsidRDefault="002631A6" w:rsidP="002631A6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2631A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 Số lượt con CNVCLĐ được hỗ trợ học bổng:</w:t>
            </w:r>
          </w:p>
          <w:p w:rsidR="002631A6" w:rsidRPr="002631A6" w:rsidRDefault="002631A6" w:rsidP="002631A6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2631A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 Số lượt con CNVCLĐ được tuyên dương, khen thưởng</w:t>
            </w:r>
          </w:p>
        </w:tc>
        <w:tc>
          <w:tcPr>
            <w:tcW w:w="1559" w:type="dxa"/>
            <w:vAlign w:val="center"/>
          </w:tcPr>
          <w:p w:rsidR="002631A6" w:rsidRPr="00EE52AB" w:rsidRDefault="002631A6" w:rsidP="002631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2631A6" w:rsidRPr="00EE52AB" w:rsidRDefault="002631A6" w:rsidP="002631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F559A5" w:rsidRPr="002631A6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31A6">
        <w:rPr>
          <w:rFonts w:ascii="Times New Roman" w:eastAsia="Times New Roman" w:hAnsi="Times New Roman"/>
          <w:b/>
          <w:sz w:val="28"/>
          <w:szCs w:val="28"/>
        </w:rPr>
        <w:t xml:space="preserve">2. Tình hình đời sống, việc làm, thu nhập bình quân; trình độ văn hoá, chuyên môn, </w:t>
      </w:r>
      <w:r w:rsidR="00021CD9" w:rsidRPr="002631A6">
        <w:rPr>
          <w:rFonts w:ascii="Times New Roman" w:eastAsia="Times New Roman" w:hAnsi="Times New Roman"/>
          <w:b/>
          <w:sz w:val="28"/>
          <w:szCs w:val="28"/>
        </w:rPr>
        <w:t>nghiệp vụ</w:t>
      </w:r>
      <w:r w:rsidR="005F65AE" w:rsidRPr="002631A6">
        <w:rPr>
          <w:rFonts w:ascii="Times New Roman" w:eastAsia="Times New Roman" w:hAnsi="Times New Roman"/>
          <w:b/>
          <w:sz w:val="28"/>
          <w:szCs w:val="28"/>
        </w:rPr>
        <w:t xml:space="preserve"> của nữ CNVCLĐ: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KẾT QUẢ THỰC HIỆN NGHỊ QUYẾT</w:t>
      </w:r>
    </w:p>
    <w:p w:rsidR="00F559A5" w:rsidRDefault="005F65AE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Cần</w:t>
      </w:r>
      <w:r w:rsidR="00F559A5">
        <w:rPr>
          <w:rFonts w:ascii="Times New Roman" w:eastAsia="Times New Roman" w:hAnsi="Times New Roman"/>
          <w:sz w:val="28"/>
          <w:szCs w:val="28"/>
        </w:rPr>
        <w:t xml:space="preserve"> nêu bật những ưu điểm, tồn tại, hạn chế, nguyên nhân. Trong đó, chú trọng những nội dung sau: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Về công tác chỉ đạo triển khai Nghị quyết </w:t>
      </w:r>
    </w:p>
    <w:p w:rsidR="00F559A5" w:rsidRDefault="00F559A5" w:rsidP="00021CD9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Các văn bản chỉ đạo, hướng dẫn triển khai Nghị quyết </w:t>
      </w:r>
      <w:r w:rsidR="00021CD9">
        <w:rPr>
          <w:rFonts w:ascii="Times New Roman" w:hAnsi="Times New Roman"/>
          <w:sz w:val="28"/>
          <w:szCs w:val="28"/>
        </w:rPr>
        <w:t xml:space="preserve">12b/NQ-BCH ngày 12/7/2017 và Hướng </w:t>
      </w:r>
      <w:r w:rsidR="00021CD9" w:rsidRPr="00021CD9">
        <w:rPr>
          <w:rFonts w:ascii="Times New Roman" w:hAnsi="Times New Roman"/>
          <w:sz w:val="28"/>
          <w:szCs w:val="28"/>
        </w:rPr>
        <w:t xml:space="preserve">dẫn </w:t>
      </w:r>
      <w:r w:rsidR="00021CD9" w:rsidRPr="00021CD9">
        <w:rPr>
          <w:rFonts w:ascii="Times New Roman" w:hAnsi="Times New Roman"/>
          <w:sz w:val="28"/>
          <w:szCs w:val="32"/>
        </w:rPr>
        <w:t>399/HD-CĐNH</w:t>
      </w:r>
      <w:r w:rsidR="00021CD9">
        <w:rPr>
          <w:rFonts w:ascii="Times New Roman" w:hAnsi="Times New Roman"/>
          <w:sz w:val="28"/>
          <w:szCs w:val="32"/>
        </w:rPr>
        <w:t xml:space="preserve"> ngày 07/9/2017.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Vai trò của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>, các cấp công đoàn, cấp ủy Đảng đối với công đoàn cùng cấp trong quá trình triển khai thực hiện.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Sự kết hợp, cách thức triển khai thực hiện mục tiêu, </w:t>
      </w:r>
      <w:r>
        <w:rPr>
          <w:rFonts w:ascii="Times New Roman" w:hAnsi="Times New Roman"/>
          <w:sz w:val="28"/>
          <w:szCs w:val="28"/>
          <w:lang w:val="vi-VN"/>
        </w:rPr>
        <w:t xml:space="preserve">chỉ tiêu phù hợp với đặc điểm của </w:t>
      </w:r>
      <w:r w:rsidR="00021CD9">
        <w:rPr>
          <w:rFonts w:ascii="Times New Roman" w:hAnsi="Times New Roman"/>
          <w:sz w:val="28"/>
          <w:szCs w:val="28"/>
        </w:rPr>
        <w:t>cơ quan</w:t>
      </w:r>
      <w:r>
        <w:rPr>
          <w:rFonts w:ascii="Times New Roman" w:hAnsi="Times New Roman"/>
          <w:sz w:val="28"/>
          <w:szCs w:val="28"/>
          <w:lang w:val="vi-VN"/>
        </w:rPr>
        <w:t>, đơn vị</w:t>
      </w:r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Về công tác tuyên truyền </w:t>
      </w:r>
      <w:r>
        <w:rPr>
          <w:rFonts w:ascii="Times New Roman" w:hAnsi="Times New Roman"/>
          <w:b/>
          <w:sz w:val="28"/>
          <w:szCs w:val="28"/>
        </w:rPr>
        <w:t xml:space="preserve">nâng cao nhận thức, trách nhiệm của ban chấp hành công đoàn 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Nội dung, hình thức tuyên truyền thực hiện Nghị quyết </w:t>
      </w:r>
      <w:r w:rsidR="00021CD9">
        <w:rPr>
          <w:rFonts w:ascii="Times New Roman" w:hAnsi="Times New Roman"/>
          <w:sz w:val="28"/>
          <w:szCs w:val="28"/>
        </w:rPr>
        <w:t xml:space="preserve">12b/NQ-BCH ngày 12/7/2017, Hướng </w:t>
      </w:r>
      <w:r w:rsidR="00021CD9" w:rsidRPr="00021CD9">
        <w:rPr>
          <w:rFonts w:ascii="Times New Roman" w:hAnsi="Times New Roman"/>
          <w:sz w:val="28"/>
          <w:szCs w:val="28"/>
        </w:rPr>
        <w:t xml:space="preserve">dẫn </w:t>
      </w:r>
      <w:r w:rsidR="00021CD9" w:rsidRPr="00021CD9">
        <w:rPr>
          <w:rFonts w:ascii="Times New Roman" w:hAnsi="Times New Roman"/>
          <w:sz w:val="28"/>
          <w:szCs w:val="32"/>
        </w:rPr>
        <w:t>399/HD-CĐNH</w:t>
      </w:r>
      <w:r w:rsidR="00021CD9">
        <w:rPr>
          <w:rFonts w:ascii="Times New Roman" w:hAnsi="Times New Roman"/>
          <w:sz w:val="28"/>
          <w:szCs w:val="32"/>
        </w:rPr>
        <w:t xml:space="preserve"> ngày 07/9/2017</w:t>
      </w:r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Hiệu quả của các hình thức tuyên tuyền trong quá trình triển khai thực hiện</w:t>
      </w:r>
      <w:r w:rsidR="00021CD9">
        <w:rPr>
          <w:rFonts w:ascii="Times New Roman" w:hAnsi="Times New Roman"/>
          <w:sz w:val="28"/>
          <w:szCs w:val="28"/>
        </w:rPr>
        <w:t xml:space="preserve"> Nghị quyết 12b/NQ-BCH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Kinh phí hàng năm cho các hoạt động của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chúng, </w:t>
      </w:r>
      <w:r w:rsidR="00021CD9">
        <w:rPr>
          <w:rFonts w:ascii="Times New Roman" w:hAnsi="Times New Roman"/>
          <w:sz w:val="28"/>
          <w:szCs w:val="28"/>
        </w:rPr>
        <w:t xml:space="preserve">công tác </w:t>
      </w:r>
      <w:r>
        <w:rPr>
          <w:rFonts w:ascii="Times New Roman" w:hAnsi="Times New Roman"/>
          <w:sz w:val="28"/>
          <w:szCs w:val="28"/>
        </w:rPr>
        <w:t xml:space="preserve">tập huấn, đào tạo, bồi dưỡng về nghiệp vụ, kỹ năng công tác nữ </w:t>
      </w:r>
      <w:proofErr w:type="gramStart"/>
      <w:r>
        <w:rPr>
          <w:rFonts w:ascii="Times New Roman" w:hAnsi="Times New Roman"/>
          <w:sz w:val="28"/>
          <w:szCs w:val="28"/>
        </w:rPr>
        <w:t>công</w:t>
      </w:r>
      <w:r w:rsidR="00021CD9">
        <w:rPr>
          <w:rFonts w:ascii="Times New Roman" w:hAnsi="Times New Roman"/>
          <w:sz w:val="28"/>
          <w:szCs w:val="28"/>
        </w:rPr>
        <w:t>,…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Về t</w:t>
      </w:r>
      <w:r>
        <w:rPr>
          <w:rFonts w:ascii="Times New Roman" w:hAnsi="Times New Roman"/>
          <w:b/>
          <w:bCs/>
          <w:iCs/>
          <w:sz w:val="28"/>
          <w:szCs w:val="28"/>
        </w:rPr>
        <w:t>hực hiện các mục tiêu, chỉ tiêu Nghị quyết 12b/NQ-TLĐ;</w:t>
      </w:r>
      <w:r>
        <w:rPr>
          <w:rFonts w:ascii="Times New Roman" w:hAnsi="Times New Roman"/>
          <w:b/>
          <w:sz w:val="28"/>
          <w:szCs w:val="28"/>
        </w:rPr>
        <w:t xml:space="preserve"> công tác thành lập, kiện toàn </w:t>
      </w:r>
      <w:r w:rsidR="00006732">
        <w:rPr>
          <w:rFonts w:ascii="Times New Roman" w:hAnsi="Times New Roman"/>
          <w:b/>
          <w:sz w:val="28"/>
          <w:szCs w:val="28"/>
        </w:rPr>
        <w:t>BNC</w:t>
      </w:r>
      <w:r>
        <w:rPr>
          <w:rFonts w:ascii="Times New Roman" w:hAnsi="Times New Roman"/>
          <w:b/>
          <w:sz w:val="28"/>
          <w:szCs w:val="28"/>
        </w:rPr>
        <w:t xml:space="preserve"> quần chúng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Tình hình thành lập, tổ chức của </w:t>
      </w:r>
      <w:r w:rsidR="00006732">
        <w:rPr>
          <w:rFonts w:ascii="Times New Roman" w:hAnsi="Times New Roman"/>
          <w:spacing w:val="-4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Công tác bố trí cán bộ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chúng, </w:t>
      </w:r>
      <w:r w:rsidR="00021CD9">
        <w:rPr>
          <w:rFonts w:ascii="Times New Roman" w:hAnsi="Times New Roman"/>
          <w:sz w:val="28"/>
          <w:szCs w:val="28"/>
        </w:rPr>
        <w:t>việc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kiện toàn </w:t>
      </w:r>
      <w:r w:rsidR="00006732">
        <w:rPr>
          <w:rFonts w:ascii="Times New Roman" w:hAnsi="Times New Roman"/>
          <w:spacing w:val="-4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 khi có thay đổi về nhân sự, tổ </w:t>
      </w:r>
      <w:proofErr w:type="gramStart"/>
      <w:r>
        <w:rPr>
          <w:rFonts w:ascii="Times New Roman" w:hAnsi="Times New Roman"/>
          <w:sz w:val="28"/>
          <w:szCs w:val="28"/>
        </w:rPr>
        <w:t>chức;</w:t>
      </w:r>
      <w:r w:rsidR="00021CD9"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59A5" w:rsidRDefault="00F559A5" w:rsidP="00F559A5">
      <w:pPr>
        <w:spacing w:before="80" w:after="8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Hiệu quả trong công tác thành lập, tổ chức, kiện toàn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Về tổ chức các hoạt động của </w:t>
      </w:r>
      <w:r w:rsidR="00006732">
        <w:rPr>
          <w:rFonts w:ascii="Times New Roman" w:hAnsi="Times New Roman"/>
          <w:b/>
          <w:sz w:val="28"/>
          <w:szCs w:val="28"/>
        </w:rPr>
        <w:t>BNC</w:t>
      </w:r>
      <w:r>
        <w:rPr>
          <w:rFonts w:ascii="Times New Roman" w:hAnsi="Times New Roman"/>
          <w:b/>
          <w:sz w:val="28"/>
          <w:szCs w:val="28"/>
        </w:rPr>
        <w:t xml:space="preserve"> quần chúng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Tuyên truyền đường lối, chủ trương của Đảng, chính sách, pháp luật của Nhà nước. </w:t>
      </w:r>
      <w:r>
        <w:rPr>
          <w:rFonts w:ascii="Times New Roman" w:hAnsi="Times New Roman"/>
          <w:sz w:val="28"/>
          <w:szCs w:val="28"/>
          <w:lang w:val="vi-VN"/>
        </w:rPr>
        <w:t xml:space="preserve">Tuyên truyền nâng cao nhận thức về </w:t>
      </w:r>
      <w:r>
        <w:rPr>
          <w:rFonts w:ascii="Times New Roman" w:hAnsi="Times New Roman"/>
          <w:sz w:val="28"/>
          <w:szCs w:val="28"/>
          <w:lang w:val="nl-NL"/>
        </w:rPr>
        <w:t xml:space="preserve">công tác giới và </w:t>
      </w:r>
      <w:r>
        <w:rPr>
          <w:rFonts w:ascii="Times New Roman" w:hAnsi="Times New Roman"/>
          <w:sz w:val="28"/>
          <w:szCs w:val="28"/>
          <w:lang w:val="vi-VN"/>
        </w:rPr>
        <w:t>bình đẳng giới;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xây dựng gia đình no ấm, bình đẳng, tiến bộ, hạnh phúc</w:t>
      </w:r>
      <w:r>
        <w:rPr>
          <w:rFonts w:ascii="Times New Roman" w:hAnsi="Times New Roman"/>
          <w:sz w:val="28"/>
          <w:szCs w:val="28"/>
          <w:lang w:val="nl-NL"/>
        </w:rPr>
        <w:t xml:space="preserve">. Tuyên truyền cho lao động nữ học tập nâng cao trình độ học vấn, chuyên môn nghiệp vụ, tay nghề. 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Đại diện, bảo vệ quyền, lợi ích hợp pháp, chính đáng và chăm lo đời sống vật chất, tinh thần của nữ CNVCLĐ; quan tâm công tác bình đẳng giới, dân số, gia đình, trẻ em và tổ chức các phong trào thi đua trong nữ CNVCLĐ.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sz w:val="28"/>
          <w:szCs w:val="28"/>
          <w:lang w:val="pt-BR"/>
        </w:rPr>
        <w:t xml:space="preserve"> Tham mưu BCH công đoàn </w:t>
      </w:r>
      <w:r>
        <w:rPr>
          <w:rFonts w:ascii="Times New Roman" w:hAnsi="Times New Roman"/>
          <w:sz w:val="28"/>
          <w:szCs w:val="28"/>
          <w:lang w:val="nl-NL"/>
        </w:rPr>
        <w:t xml:space="preserve">đề xuất nữ cán bộ, công chức, viên chức, công nhân và người lao động cử đi đào tạo, bồi dưỡng nâng cao trình độ học vấn, chuyên môn, nghiệp vụ; </w:t>
      </w:r>
      <w:r>
        <w:rPr>
          <w:rStyle w:val="apple-style-span"/>
          <w:rFonts w:ascii="Times New Roman" w:hAnsi="Times New Roman"/>
          <w:sz w:val="28"/>
          <w:szCs w:val="28"/>
          <w:lang w:val="pt-BR"/>
        </w:rPr>
        <w:t>tham gia</w:t>
      </w:r>
      <w:r>
        <w:rPr>
          <w:rFonts w:ascii="Times New Roman" w:hAnsi="Times New Roman"/>
          <w:sz w:val="28"/>
          <w:szCs w:val="28"/>
          <w:lang w:val="nl-NL"/>
        </w:rPr>
        <w:t xml:space="preserve"> với chuyên môn, cấp ủy trong công tác quy hoạch cán bộ, phát hiện, bồi dưỡng và bố trí sử dụng cán bộ nữ. </w:t>
      </w:r>
    </w:p>
    <w:p w:rsidR="00F559A5" w:rsidRDefault="00F559A5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Việc sáng tạo, đổi mới và xây dựng các mô hình hoạt động của </w:t>
      </w:r>
      <w:r w:rsidR="00006732">
        <w:rPr>
          <w:rFonts w:ascii="Times New Roman" w:hAnsi="Times New Roman"/>
          <w:sz w:val="28"/>
          <w:szCs w:val="28"/>
          <w:lang w:val="nl-NL"/>
        </w:rPr>
        <w:t>BNC</w:t>
      </w:r>
      <w:r>
        <w:rPr>
          <w:rFonts w:ascii="Times New Roman" w:hAnsi="Times New Roman"/>
          <w:sz w:val="28"/>
          <w:szCs w:val="28"/>
          <w:lang w:val="nl-NL"/>
        </w:rPr>
        <w:t xml:space="preserve"> quầ</w:t>
      </w:r>
      <w:r w:rsidR="00021CD9">
        <w:rPr>
          <w:rFonts w:ascii="Times New Roman" w:hAnsi="Times New Roman"/>
          <w:sz w:val="28"/>
          <w:szCs w:val="28"/>
          <w:lang w:val="nl-NL"/>
        </w:rPr>
        <w:t>n chúng</w:t>
      </w:r>
      <w:r w:rsidR="007E429E">
        <w:rPr>
          <w:rFonts w:ascii="Times New Roman" w:hAnsi="Times New Roman"/>
          <w:sz w:val="28"/>
          <w:szCs w:val="28"/>
          <w:lang w:val="nl-NL"/>
        </w:rPr>
        <w:t>:</w:t>
      </w:r>
      <w:r w:rsidR="00021CD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21CD9" w:rsidRPr="007E429E">
        <w:rPr>
          <w:rFonts w:ascii="Times New Roman" w:hAnsi="Times New Roman"/>
          <w:b/>
          <w:i/>
          <w:sz w:val="28"/>
          <w:szCs w:val="28"/>
          <w:lang w:val="nl-NL"/>
        </w:rPr>
        <w:t>đề nghị nêu rõ nộ</w:t>
      </w:r>
      <w:r w:rsidR="007E429E" w:rsidRPr="007E429E">
        <w:rPr>
          <w:rFonts w:ascii="Times New Roman" w:hAnsi="Times New Roman"/>
          <w:b/>
          <w:i/>
          <w:sz w:val="28"/>
          <w:szCs w:val="28"/>
          <w:lang w:val="nl-NL"/>
        </w:rPr>
        <w:t>i dung</w:t>
      </w:r>
      <w:r w:rsidR="00021CD9">
        <w:rPr>
          <w:rFonts w:ascii="Times New Roman" w:hAnsi="Times New Roman"/>
          <w:sz w:val="28"/>
          <w:szCs w:val="28"/>
          <w:lang w:val="nl-NL"/>
        </w:rPr>
        <w:t>.</w:t>
      </w:r>
    </w:p>
    <w:p w:rsidR="005F65AE" w:rsidRDefault="005F65AE" w:rsidP="00F559A5">
      <w:pPr>
        <w:widowControl w:val="0"/>
        <w:autoSpaceDE w:val="0"/>
        <w:autoSpaceDN w:val="0"/>
        <w:adjustRightInd w:val="0"/>
        <w:spacing w:before="80" w:after="80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7E429E"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="007E429E" w:rsidRPr="007E429E">
        <w:rPr>
          <w:rFonts w:ascii="Times New Roman" w:hAnsi="Times New Roman"/>
          <w:sz w:val="28"/>
          <w:szCs w:val="28"/>
          <w:lang w:val="nl-NL"/>
        </w:rPr>
        <w:t>quy định có lợi hơn cho lao động nữ (hỗ trợ gửi trẻ, mẫu giáo; tổ chức thêm 1 lần khám chuyên khoa phụ sản…)</w:t>
      </w:r>
      <w:r w:rsidR="007E429E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7E429E" w:rsidRPr="007E429E">
        <w:rPr>
          <w:rFonts w:ascii="Times New Roman" w:hAnsi="Times New Roman"/>
          <w:b/>
          <w:i/>
          <w:sz w:val="28"/>
          <w:szCs w:val="28"/>
          <w:lang w:val="nl-NL"/>
        </w:rPr>
        <w:t xml:space="preserve">đề nghị thống kê </w:t>
      </w:r>
      <w:r w:rsidR="002631A6">
        <w:rPr>
          <w:rFonts w:ascii="Times New Roman" w:hAnsi="Times New Roman"/>
          <w:b/>
          <w:i/>
          <w:sz w:val="28"/>
          <w:szCs w:val="28"/>
          <w:lang w:val="nl-NL"/>
        </w:rPr>
        <w:t>chi tiết.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ĐÁNH GIÁ CHUNG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Những ưu điểm, tồn tại, hạn chế 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Về công tác chỉ đạo triển khai.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Về công tác tuyên truyền </w:t>
      </w:r>
      <w:r>
        <w:rPr>
          <w:rFonts w:ascii="Times New Roman" w:hAnsi="Times New Roman"/>
          <w:sz w:val="28"/>
          <w:szCs w:val="28"/>
        </w:rPr>
        <w:t>nâng cao nhận thức, trách nhiệm của ban chấp hành công đoàn.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Về công tác thành lập, kiện toàn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Về tổ chức các hoạt động của </w:t>
      </w:r>
      <w:r w:rsidR="00006732">
        <w:rPr>
          <w:rFonts w:ascii="Times New Roman" w:hAnsi="Times New Roman"/>
          <w:sz w:val="28"/>
          <w:szCs w:val="28"/>
        </w:rPr>
        <w:t>BNC</w:t>
      </w:r>
      <w:r>
        <w:rPr>
          <w:rFonts w:ascii="Times New Roman" w:hAnsi="Times New Roman"/>
          <w:sz w:val="28"/>
          <w:szCs w:val="28"/>
        </w:rPr>
        <w:t xml:space="preserve"> quần chúng. 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Nguyên nhân của tồn tại, hạn chế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 chủ quan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 khách quan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BÀI HỌC KINH NGHIỆM</w:t>
      </w:r>
      <w:r w:rsidR="00021CD9">
        <w:rPr>
          <w:rFonts w:ascii="Times New Roman" w:hAnsi="Times New Roman"/>
          <w:b/>
          <w:sz w:val="28"/>
          <w:szCs w:val="28"/>
        </w:rPr>
        <w:t>, ĐỊNH HƯỚNG GIẢI PHÁP THỰC HIỆN THỜI GIAN TỚI</w:t>
      </w:r>
    </w:p>
    <w:p w:rsidR="00021CD9" w:rsidRPr="00085717" w:rsidRDefault="00021CD9" w:rsidP="00021CD9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085717">
        <w:rPr>
          <w:rFonts w:ascii="Times New Roman" w:hAnsi="Times New Roman"/>
          <w:sz w:val="28"/>
          <w:szCs w:val="28"/>
        </w:rPr>
        <w:t>Bài học kinh nghiệm</w:t>
      </w:r>
    </w:p>
    <w:p w:rsidR="00021CD9" w:rsidRPr="00085717" w:rsidRDefault="00021CD9" w:rsidP="00021CD9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085717">
        <w:rPr>
          <w:rFonts w:ascii="Times New Roman" w:hAnsi="Times New Roman"/>
          <w:sz w:val="28"/>
          <w:szCs w:val="28"/>
        </w:rPr>
        <w:t>Định hướng giải pháp thực hiện</w:t>
      </w:r>
    </w:p>
    <w:p w:rsidR="00F559A5" w:rsidRDefault="00F559A5" w:rsidP="00F559A5">
      <w:pPr>
        <w:spacing w:before="80" w:after="8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KIẾN NGHỊ, ĐỀ XUẤT</w:t>
      </w:r>
    </w:p>
    <w:p w:rsidR="00F559A5" w:rsidRPr="00085717" w:rsidRDefault="00021CD9" w:rsidP="00F559A5">
      <w:pPr>
        <w:pStyle w:val="BodyText2"/>
        <w:spacing w:before="80" w:after="80"/>
        <w:ind w:firstLine="567"/>
        <w:rPr>
          <w:rFonts w:ascii="Times New Roman" w:hAnsi="Times New Roman"/>
          <w:szCs w:val="28"/>
        </w:rPr>
      </w:pPr>
      <w:r w:rsidRPr="00085717">
        <w:rPr>
          <w:rFonts w:ascii="Times New Roman" w:hAnsi="Times New Roman"/>
          <w:szCs w:val="28"/>
        </w:rPr>
        <w:t>1.</w:t>
      </w:r>
      <w:r w:rsidR="00F559A5" w:rsidRPr="00085717">
        <w:rPr>
          <w:rFonts w:ascii="Times New Roman" w:hAnsi="Times New Roman"/>
          <w:szCs w:val="28"/>
        </w:rPr>
        <w:t xml:space="preserve"> Với Công đoàn NHVN:</w:t>
      </w:r>
    </w:p>
    <w:p w:rsidR="00021CD9" w:rsidRPr="00085717" w:rsidRDefault="00021CD9" w:rsidP="00F559A5">
      <w:pPr>
        <w:pStyle w:val="BodyText2"/>
        <w:spacing w:before="80" w:after="80"/>
        <w:ind w:firstLine="567"/>
        <w:rPr>
          <w:rFonts w:ascii="Times New Roman" w:hAnsi="Times New Roman"/>
          <w:szCs w:val="28"/>
        </w:rPr>
      </w:pPr>
      <w:r w:rsidRPr="00085717">
        <w:rPr>
          <w:rFonts w:ascii="Times New Roman" w:hAnsi="Times New Roman"/>
          <w:szCs w:val="28"/>
        </w:rPr>
        <w:t>2. Với Cấp ủy Đảng, Lãnh đạo chuyên môn:</w:t>
      </w:r>
    </w:p>
    <w:p w:rsidR="005556EA" w:rsidRDefault="005556EA"/>
    <w:sectPr w:rsidR="005556EA" w:rsidSect="00006732">
      <w:pgSz w:w="11906" w:h="16838" w:code="9"/>
      <w:pgMar w:top="568" w:right="1183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CD"/>
    <w:multiLevelType w:val="hybridMultilevel"/>
    <w:tmpl w:val="11A092B6"/>
    <w:lvl w:ilvl="0" w:tplc="92D67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A167C"/>
    <w:multiLevelType w:val="hybridMultilevel"/>
    <w:tmpl w:val="D08AF540"/>
    <w:lvl w:ilvl="0" w:tplc="88F0D6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56E14"/>
    <w:multiLevelType w:val="hybridMultilevel"/>
    <w:tmpl w:val="CCAC60F6"/>
    <w:lvl w:ilvl="0" w:tplc="7790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64DA9"/>
    <w:multiLevelType w:val="hybridMultilevel"/>
    <w:tmpl w:val="7400B57C"/>
    <w:lvl w:ilvl="0" w:tplc="16DAF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56A0"/>
    <w:multiLevelType w:val="hybridMultilevel"/>
    <w:tmpl w:val="CCAC60F6"/>
    <w:lvl w:ilvl="0" w:tplc="7790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A5"/>
    <w:rsid w:val="00006732"/>
    <w:rsid w:val="00021CD9"/>
    <w:rsid w:val="00085717"/>
    <w:rsid w:val="002631A6"/>
    <w:rsid w:val="002931E4"/>
    <w:rsid w:val="005556EA"/>
    <w:rsid w:val="005F65AE"/>
    <w:rsid w:val="00712CD9"/>
    <w:rsid w:val="007E429E"/>
    <w:rsid w:val="00882735"/>
    <w:rsid w:val="00AA0E07"/>
    <w:rsid w:val="00EE52AB"/>
    <w:rsid w:val="00F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185A"/>
  <w15:chartTrackingRefBased/>
  <w15:docId w15:val="{586D8765-9AA3-4FCE-ACAA-B83296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559A5"/>
    <w:pPr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559A5"/>
    <w:rPr>
      <w:rFonts w:ascii=".VnTime" w:eastAsia="Times New Roman" w:hAnsi=".VnTime" w:cs="Times New Roman"/>
      <w:sz w:val="28"/>
      <w:szCs w:val="24"/>
    </w:rPr>
  </w:style>
  <w:style w:type="character" w:customStyle="1" w:styleId="apple-style-span">
    <w:name w:val="apple-style-span"/>
    <w:rsid w:val="00F559A5"/>
  </w:style>
  <w:style w:type="paragraph" w:styleId="ListParagraph">
    <w:name w:val="List Paragraph"/>
    <w:basedOn w:val="Normal"/>
    <w:uiPriority w:val="34"/>
    <w:qFormat/>
    <w:rsid w:val="00021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EE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9042-E94D-4EE1-AA18-F8CDDDC3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2022-03-29T03:17:00Z</cp:lastPrinted>
  <dcterms:created xsi:type="dcterms:W3CDTF">2022-03-29T02:42:00Z</dcterms:created>
  <dcterms:modified xsi:type="dcterms:W3CDTF">2022-03-29T03:34:00Z</dcterms:modified>
</cp:coreProperties>
</file>