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D1" w:rsidRDefault="00473BD1" w:rsidP="00473BD1">
      <w:pPr>
        <w:spacing w:before="100" w:beforeAutospacing="1" w:after="120"/>
        <w:jc w:val="center"/>
        <w:rPr>
          <w:sz w:val="28"/>
          <w:szCs w:val="28"/>
        </w:rPr>
      </w:pPr>
    </w:p>
    <w:tbl>
      <w:tblPr>
        <w:tblW w:w="10316" w:type="dxa"/>
        <w:tblInd w:w="-492" w:type="dxa"/>
        <w:shd w:val="clear" w:color="auto" w:fill="FFFFFF"/>
        <w:tblLook w:val="01E0"/>
      </w:tblPr>
      <w:tblGrid>
        <w:gridCol w:w="4920"/>
        <w:gridCol w:w="5396"/>
      </w:tblGrid>
      <w:tr w:rsidR="00473BD1" w:rsidRPr="0060562E" w:rsidTr="009142BE">
        <w:tc>
          <w:tcPr>
            <w:tcW w:w="4920" w:type="dxa"/>
            <w:shd w:val="clear" w:color="auto" w:fill="FFFFFF"/>
          </w:tcPr>
          <w:p w:rsidR="00473BD1" w:rsidRPr="0060562E" w:rsidRDefault="0060562E" w:rsidP="009142BE">
            <w:pPr>
              <w:jc w:val="center"/>
              <w:rPr>
                <w:rFonts w:eastAsia="SimSun"/>
                <w:b/>
                <w:bCs/>
                <w:szCs w:val="28"/>
                <w:lang w:val="pt-BR"/>
              </w:rPr>
            </w:pPr>
            <w:r>
              <w:rPr>
                <w:rFonts w:eastAsia="SimSun"/>
                <w:b/>
                <w:bCs/>
                <w:szCs w:val="28"/>
                <w:lang w:val="pt-BR"/>
              </w:rPr>
              <w:t>Bộ Văn hóa, Thể thao và Du lịch</w:t>
            </w:r>
          </w:p>
          <w:p w:rsidR="00473BD1" w:rsidRPr="0060562E" w:rsidRDefault="00473BD1" w:rsidP="009142BE">
            <w:pPr>
              <w:jc w:val="center"/>
              <w:rPr>
                <w:rFonts w:eastAsia="SimSun"/>
                <w:b/>
                <w:bCs/>
                <w:szCs w:val="28"/>
                <w:lang w:val="pt-BR"/>
              </w:rPr>
            </w:pPr>
            <w:r w:rsidRPr="0060562E">
              <w:rPr>
                <w:rFonts w:eastAsia="SimSun"/>
                <w:b/>
                <w:bCs/>
                <w:szCs w:val="28"/>
                <w:lang w:val="pt-BR"/>
              </w:rPr>
              <w:t>______________</w:t>
            </w:r>
          </w:p>
          <w:p w:rsidR="00473BD1" w:rsidRPr="0060562E" w:rsidRDefault="00473BD1" w:rsidP="009142BE">
            <w:pPr>
              <w:jc w:val="center"/>
              <w:rPr>
                <w:rFonts w:eastAsia="SimSun"/>
                <w:b/>
                <w:bCs/>
                <w:szCs w:val="28"/>
                <w:lang w:val="pt-BR"/>
              </w:rPr>
            </w:pPr>
          </w:p>
          <w:p w:rsidR="00473BD1" w:rsidRPr="0060562E" w:rsidRDefault="00473BD1" w:rsidP="009142BE">
            <w:pPr>
              <w:jc w:val="center"/>
              <w:rPr>
                <w:rFonts w:eastAsia="SimSun"/>
                <w:bCs/>
                <w:szCs w:val="28"/>
                <w:lang w:val="pt-BR"/>
              </w:rPr>
            </w:pPr>
            <w:r w:rsidRPr="0060562E">
              <w:rPr>
                <w:rFonts w:eastAsia="SimSun"/>
                <w:bCs/>
                <w:szCs w:val="28"/>
                <w:lang w:val="pt-BR"/>
              </w:rPr>
              <w:t>Số: 08/2011/TT-BVHTTDL</w:t>
            </w:r>
          </w:p>
          <w:p w:rsidR="00473BD1" w:rsidRPr="0060562E" w:rsidRDefault="00473BD1" w:rsidP="009142BE">
            <w:pPr>
              <w:jc w:val="center"/>
              <w:rPr>
                <w:rFonts w:eastAsia="SimSun"/>
                <w:b/>
                <w:bCs/>
                <w:szCs w:val="28"/>
                <w:lang w:val="pt-BR"/>
              </w:rPr>
            </w:pPr>
          </w:p>
        </w:tc>
        <w:tc>
          <w:tcPr>
            <w:tcW w:w="5396" w:type="dxa"/>
            <w:shd w:val="clear" w:color="auto" w:fill="FFFFFF"/>
          </w:tcPr>
          <w:p w:rsidR="00473BD1" w:rsidRDefault="0060562E" w:rsidP="009142BE">
            <w:pPr>
              <w:jc w:val="center"/>
              <w:rPr>
                <w:rFonts w:eastAsia="SimSun"/>
                <w:b/>
                <w:szCs w:val="28"/>
                <w:lang w:val="pt-BR"/>
              </w:rPr>
            </w:pPr>
            <w:r>
              <w:rPr>
                <w:rFonts w:eastAsia="SimSun"/>
                <w:b/>
                <w:szCs w:val="28"/>
                <w:lang w:val="pt-BR"/>
              </w:rPr>
              <w:t>Cộng hòa Xã hội Chủ nghĩa Việt Nam</w:t>
            </w:r>
          </w:p>
          <w:p w:rsidR="0060562E" w:rsidRPr="0060562E" w:rsidRDefault="0060562E" w:rsidP="009142BE">
            <w:pPr>
              <w:jc w:val="center"/>
              <w:rPr>
                <w:rFonts w:eastAsia="SimSun"/>
                <w:b/>
                <w:szCs w:val="28"/>
                <w:lang w:val="pt-BR"/>
              </w:rPr>
            </w:pPr>
            <w:r>
              <w:rPr>
                <w:rFonts w:eastAsia="SimSun"/>
                <w:b/>
                <w:szCs w:val="28"/>
                <w:lang w:val="pt-BR"/>
              </w:rPr>
              <w:t>Độc lập – Tự do – Hạnh phúc</w:t>
            </w:r>
          </w:p>
          <w:p w:rsidR="00473BD1" w:rsidRPr="0060562E" w:rsidRDefault="00473BD1" w:rsidP="009142BE">
            <w:pPr>
              <w:jc w:val="center"/>
              <w:rPr>
                <w:rFonts w:eastAsia="SimSun"/>
                <w:b/>
                <w:szCs w:val="28"/>
                <w:lang w:val="pt-BR"/>
              </w:rPr>
            </w:pPr>
            <w:r w:rsidRPr="0060562E">
              <w:rPr>
                <w:rFonts w:eastAsia="SimSun"/>
                <w:b/>
                <w:szCs w:val="28"/>
                <w:lang w:val="pt-BR"/>
              </w:rPr>
              <w:t>____________________</w:t>
            </w:r>
          </w:p>
          <w:p w:rsidR="00473BD1" w:rsidRPr="0060562E" w:rsidRDefault="00473BD1" w:rsidP="009142BE">
            <w:pPr>
              <w:jc w:val="center"/>
              <w:rPr>
                <w:rFonts w:eastAsia="SimSun"/>
                <w:b/>
                <w:szCs w:val="28"/>
                <w:lang w:val="pt-BR"/>
              </w:rPr>
            </w:pPr>
          </w:p>
          <w:p w:rsidR="00473BD1" w:rsidRPr="0060562E" w:rsidRDefault="0060562E" w:rsidP="0060562E">
            <w:pPr>
              <w:jc w:val="center"/>
              <w:rPr>
                <w:rFonts w:eastAsia="SimSun"/>
                <w:i/>
                <w:szCs w:val="28"/>
              </w:rPr>
            </w:pPr>
            <w:r>
              <w:rPr>
                <w:rFonts w:eastAsia="SimSun"/>
                <w:i/>
                <w:szCs w:val="28"/>
              </w:rPr>
              <w:t>Hà Nội, ngày</w:t>
            </w:r>
            <w:r w:rsidR="00473BD1" w:rsidRPr="0060562E">
              <w:rPr>
                <w:rFonts w:eastAsia="SimSun"/>
                <w:i/>
                <w:szCs w:val="28"/>
              </w:rPr>
              <w:t xml:space="preserve"> 29  </w:t>
            </w:r>
            <w:r>
              <w:rPr>
                <w:rFonts w:eastAsia="SimSun"/>
                <w:i/>
                <w:szCs w:val="28"/>
              </w:rPr>
              <w:t>tháng</w:t>
            </w:r>
            <w:r w:rsidR="00473BD1" w:rsidRPr="0060562E">
              <w:rPr>
                <w:rFonts w:eastAsia="SimSun"/>
                <w:i/>
                <w:szCs w:val="28"/>
              </w:rPr>
              <w:t xml:space="preserve"> 6 </w:t>
            </w:r>
            <w:r>
              <w:rPr>
                <w:rFonts w:eastAsia="SimSun"/>
                <w:i/>
                <w:szCs w:val="28"/>
              </w:rPr>
              <w:t>năm</w:t>
            </w:r>
            <w:r w:rsidR="00473BD1" w:rsidRPr="0060562E">
              <w:rPr>
                <w:rFonts w:eastAsia="SimSun"/>
                <w:i/>
                <w:szCs w:val="28"/>
              </w:rPr>
              <w:t xml:space="preserve"> 2011</w:t>
            </w:r>
          </w:p>
        </w:tc>
      </w:tr>
    </w:tbl>
    <w:p w:rsidR="00473BD1" w:rsidRDefault="00473BD1" w:rsidP="00473BD1">
      <w:pPr>
        <w:spacing w:before="100" w:beforeAutospacing="1" w:after="120"/>
        <w:jc w:val="center"/>
        <w:rPr>
          <w:sz w:val="28"/>
          <w:szCs w:val="28"/>
        </w:rPr>
      </w:pPr>
      <w:r>
        <w:rPr>
          <w:sz w:val="28"/>
          <w:szCs w:val="28"/>
        </w:rPr>
        <w:t> </w:t>
      </w:r>
    </w:p>
    <w:p w:rsidR="00473BD1" w:rsidRDefault="00473BD1" w:rsidP="00473BD1">
      <w:pPr>
        <w:jc w:val="center"/>
        <w:rPr>
          <w:sz w:val="28"/>
          <w:szCs w:val="28"/>
        </w:rPr>
      </w:pPr>
      <w:r>
        <w:rPr>
          <w:b/>
          <w:bCs/>
          <w:sz w:val="28"/>
          <w:szCs w:val="28"/>
        </w:rPr>
        <w:t>THÔNG TƯ</w:t>
      </w:r>
    </w:p>
    <w:p w:rsidR="00473BD1" w:rsidRDefault="00473BD1" w:rsidP="00473BD1">
      <w:pPr>
        <w:jc w:val="center"/>
        <w:rPr>
          <w:b/>
          <w:sz w:val="28"/>
          <w:szCs w:val="28"/>
        </w:rPr>
      </w:pPr>
      <w:r>
        <w:rPr>
          <w:b/>
          <w:sz w:val="28"/>
          <w:szCs w:val="28"/>
        </w:rPr>
        <w:t>Sửa đổi, bổ sung một số quy định của Thông tư số 05/2007/TT-UBTDTT ngày 20 tháng 7 năm 2007 của Ủy ban Thể dục thể thao hướng dẫn thực hiện một số quy định của Nghị định số 112/2007/NĐ-CP ngày 26 tháng 6 năm 2007 của Chính phủ quy định chi tiết và hướng dẫn thi hành một số điều của Luật Thể dục, thể thao</w:t>
      </w:r>
    </w:p>
    <w:p w:rsidR="00473BD1" w:rsidRDefault="00473BD1" w:rsidP="00473BD1">
      <w:pPr>
        <w:jc w:val="center"/>
        <w:rPr>
          <w:b/>
          <w:sz w:val="28"/>
          <w:szCs w:val="28"/>
        </w:rPr>
      </w:pPr>
      <w:r>
        <w:rPr>
          <w:b/>
          <w:sz w:val="28"/>
          <w:szCs w:val="28"/>
        </w:rPr>
        <w:t>____________________</w:t>
      </w:r>
    </w:p>
    <w:p w:rsidR="00473BD1" w:rsidRDefault="00473BD1" w:rsidP="00473BD1">
      <w:pPr>
        <w:spacing w:before="120" w:after="120"/>
        <w:ind w:firstLine="720"/>
        <w:jc w:val="both"/>
        <w:rPr>
          <w:iCs/>
          <w:spacing w:val="-2"/>
          <w:sz w:val="28"/>
          <w:szCs w:val="28"/>
          <w:lang w:val="nl-NL"/>
        </w:rPr>
      </w:pPr>
      <w:r>
        <w:rPr>
          <w:iCs/>
          <w:spacing w:val="-2"/>
          <w:sz w:val="28"/>
          <w:szCs w:val="28"/>
          <w:lang w:val="nl-NL"/>
        </w:rPr>
        <w:t>Căn cứ Luật Thể dục, thể thao số 77/2006/QH11 ngày 29 tháng 11 năm 2006;</w:t>
      </w:r>
    </w:p>
    <w:p w:rsidR="00473BD1" w:rsidRDefault="00473BD1" w:rsidP="00473BD1">
      <w:pPr>
        <w:spacing w:before="120" w:after="120"/>
        <w:ind w:firstLine="720"/>
        <w:jc w:val="both"/>
        <w:rPr>
          <w:iCs/>
          <w:spacing w:val="-2"/>
          <w:sz w:val="28"/>
          <w:szCs w:val="28"/>
          <w:lang w:val="nl-NL"/>
        </w:rPr>
      </w:pPr>
      <w:r>
        <w:rPr>
          <w:iCs/>
          <w:spacing w:val="-2"/>
          <w:sz w:val="28"/>
          <w:szCs w:val="28"/>
          <w:lang w:val="nl-NL"/>
        </w:rPr>
        <w:t>Căn cứ Nghị định số 112/2007/NĐ-CP ngày 26 tháng 6 năm 2007 của Chính phủ quy định chi tiết và hướng dẫn thi hành một số điều của Luật Thể dục, thể thao;</w:t>
      </w:r>
    </w:p>
    <w:p w:rsidR="00473BD1" w:rsidRDefault="00473BD1" w:rsidP="00473BD1">
      <w:pPr>
        <w:spacing w:before="120" w:after="120"/>
        <w:ind w:firstLine="720"/>
        <w:jc w:val="both"/>
        <w:rPr>
          <w:iCs/>
          <w:sz w:val="28"/>
          <w:szCs w:val="28"/>
          <w:lang w:val="nl-NL"/>
        </w:rPr>
      </w:pPr>
      <w:r>
        <w:rPr>
          <w:iCs/>
          <w:sz w:val="28"/>
          <w:szCs w:val="28"/>
          <w:lang w:val="nl-NL"/>
        </w:rPr>
        <w:t>Căn cứ Nghị định số 185/2007/NĐ-CP ngày 25 tháng 12 năm 2007 của Chính phủ quy định chức năng, nhiệm vụ, quyền hạn và cơ cấu tổ chức của Bộ Văn hóa, Thể thao và Du lịch,</w:t>
      </w:r>
    </w:p>
    <w:p w:rsidR="00473BD1" w:rsidRDefault="00473BD1" w:rsidP="00473BD1">
      <w:pPr>
        <w:spacing w:before="120" w:after="120"/>
        <w:ind w:firstLine="720"/>
        <w:jc w:val="both"/>
        <w:rPr>
          <w:sz w:val="28"/>
          <w:szCs w:val="28"/>
        </w:rPr>
      </w:pPr>
      <w:r>
        <w:rPr>
          <w:iCs/>
          <w:spacing w:val="-4"/>
          <w:sz w:val="28"/>
          <w:szCs w:val="28"/>
          <w:lang w:val="nl-NL"/>
        </w:rPr>
        <w:t>Bộ Văn hóa, Thể thao và Du lịch sửa đổi, bổ sung một số quy định của Thông tư số 05/2007/TT-UBTDTT ngày 20 tháng 7 năm 2007 của Ủy ban Thể dục thể thao hướng dẫn thực hiện một số quy định của Nghị định 112/2007/NĐ-CP ngày 26 tháng 6 năm 2007 của Chính phủ quy định chi tiết và hướng dẫn thi hành một số điều của Luật Thể dục, thể thao (sau đây gọi là Thông tư số 05/2007/TT-UBTDTT) như sau:</w:t>
      </w:r>
    </w:p>
    <w:p w:rsidR="00473BD1" w:rsidRDefault="00473BD1" w:rsidP="00473BD1">
      <w:pPr>
        <w:spacing w:before="120" w:after="120"/>
        <w:ind w:firstLine="720"/>
        <w:jc w:val="both"/>
        <w:rPr>
          <w:sz w:val="28"/>
          <w:szCs w:val="28"/>
        </w:rPr>
      </w:pPr>
      <w:r>
        <w:rPr>
          <w:b/>
          <w:bCs/>
          <w:sz w:val="28"/>
          <w:szCs w:val="28"/>
          <w:lang w:val="nl-NL"/>
        </w:rPr>
        <w:t>Điều 1. Sửa đổi, bổ sung một số quy định của Thông tư số 05/2007/TT -UBTDTT như sau:</w:t>
      </w:r>
      <w:r>
        <w:rPr>
          <w:sz w:val="28"/>
          <w:szCs w:val="28"/>
          <w:lang w:val="nl-NL"/>
        </w:rPr>
        <w:t xml:space="preserve"> </w:t>
      </w:r>
    </w:p>
    <w:p w:rsidR="00473BD1" w:rsidRDefault="00473BD1" w:rsidP="00473BD1">
      <w:pPr>
        <w:spacing w:before="120" w:after="120"/>
        <w:ind w:firstLine="720"/>
        <w:jc w:val="both"/>
        <w:rPr>
          <w:sz w:val="28"/>
          <w:szCs w:val="28"/>
        </w:rPr>
      </w:pPr>
      <w:r>
        <w:rPr>
          <w:i/>
          <w:iCs/>
          <w:spacing w:val="-6"/>
          <w:sz w:val="28"/>
          <w:szCs w:val="28"/>
          <w:lang w:val="nl-NL"/>
        </w:rPr>
        <w:t>1. Thay thế các cụm từ</w:t>
      </w:r>
      <w:r>
        <w:rPr>
          <w:spacing w:val="-6"/>
          <w:sz w:val="28"/>
          <w:szCs w:val="28"/>
          <w:lang w:val="nl-NL"/>
        </w:rPr>
        <w:t xml:space="preserve"> “</w:t>
      </w:r>
      <w:r>
        <w:rPr>
          <w:sz w:val="28"/>
          <w:szCs w:val="28"/>
          <w:lang w:val="nl-NL"/>
        </w:rPr>
        <w:t>Ủy ban Thể dục thể thao” bằng “Bộ Văn hóa, Thể thao và Du lịch” và “Sở Thể dục thể thao” bằng “Sở Văn hóa, Thể thao và Du lịch”.</w:t>
      </w:r>
    </w:p>
    <w:p w:rsidR="00473BD1" w:rsidRDefault="00473BD1" w:rsidP="00473BD1">
      <w:pPr>
        <w:spacing w:before="120" w:after="120"/>
        <w:ind w:firstLine="720"/>
        <w:jc w:val="both"/>
        <w:rPr>
          <w:sz w:val="28"/>
          <w:szCs w:val="28"/>
        </w:rPr>
      </w:pPr>
      <w:r>
        <w:rPr>
          <w:i/>
          <w:iCs/>
          <w:spacing w:val="-4"/>
          <w:sz w:val="28"/>
          <w:szCs w:val="28"/>
          <w:lang w:val="nl-NL"/>
        </w:rPr>
        <w:t xml:space="preserve">2. Bỏ điểm 2 và 3 Phần I </w:t>
      </w:r>
      <w:r>
        <w:rPr>
          <w:sz w:val="28"/>
          <w:szCs w:val="28"/>
          <w:lang w:val="nl-NL"/>
        </w:rPr>
        <w:t>về cấp thẻ cộng tác viên thể dục, thể thao; Mẫu số 01 về thẻ cộng tác viên thể dục, thể thao và Mẫu số 02 về giấy đề nghị cấp thẻ cộng tác viên thể dục, thể thao.</w:t>
      </w:r>
    </w:p>
    <w:p w:rsidR="00473BD1" w:rsidRDefault="00473BD1" w:rsidP="00473BD1">
      <w:pPr>
        <w:spacing w:before="120" w:after="120"/>
        <w:ind w:firstLine="720"/>
        <w:jc w:val="both"/>
        <w:rPr>
          <w:sz w:val="28"/>
          <w:szCs w:val="28"/>
        </w:rPr>
      </w:pPr>
      <w:r>
        <w:rPr>
          <w:i/>
          <w:iCs/>
          <w:sz w:val="28"/>
          <w:szCs w:val="28"/>
          <w:lang w:val="nl-NL"/>
        </w:rPr>
        <w:t xml:space="preserve">3. Bổ sung vào điểm 2 Phần II như sau: </w:t>
      </w:r>
    </w:p>
    <w:p w:rsidR="00473BD1" w:rsidRDefault="00473BD1" w:rsidP="00473BD1">
      <w:pPr>
        <w:spacing w:before="120" w:after="120"/>
        <w:ind w:firstLine="720"/>
        <w:jc w:val="both"/>
        <w:rPr>
          <w:sz w:val="28"/>
          <w:szCs w:val="28"/>
        </w:rPr>
      </w:pPr>
      <w:r>
        <w:rPr>
          <w:spacing w:val="-2"/>
          <w:sz w:val="28"/>
          <w:szCs w:val="28"/>
          <w:lang w:val="nl-NL"/>
        </w:rPr>
        <w:t xml:space="preserve">“2. Thủ tục cấp giấy chứng nhận đủ điều kiện kinh doanh hoạt động thể thao của câu lạc bộ thể thao chuyên nghiệp thực hiện theo quy định tại khoản 4 </w:t>
      </w:r>
      <w:r>
        <w:rPr>
          <w:spacing w:val="-2"/>
          <w:sz w:val="28"/>
          <w:szCs w:val="28"/>
          <w:lang w:val="nl-NL"/>
        </w:rPr>
        <w:lastRenderedPageBreak/>
        <w:t>Điều 51 của Luật Thể dục, thể thao. Hồ sơ được lập thành 01 bộ, nộp trực tiếp hoặc gửi qua đường bưu điện đến Sở Văn hóa, Thể thao và Du lịch nơi câu lạc bộ đặt trụ sở chính</w:t>
      </w:r>
      <w:r>
        <w:rPr>
          <w:spacing w:val="-6"/>
          <w:sz w:val="28"/>
          <w:szCs w:val="28"/>
          <w:lang w:val="nl-NL"/>
        </w:rPr>
        <w:t xml:space="preserve"> ”.</w:t>
      </w:r>
    </w:p>
    <w:p w:rsidR="00473BD1" w:rsidRDefault="00473BD1" w:rsidP="00473BD1">
      <w:pPr>
        <w:spacing w:before="120" w:after="120"/>
        <w:ind w:firstLine="720"/>
        <w:jc w:val="both"/>
        <w:rPr>
          <w:sz w:val="28"/>
          <w:szCs w:val="28"/>
        </w:rPr>
      </w:pPr>
      <w:r>
        <w:rPr>
          <w:i/>
          <w:iCs/>
          <w:sz w:val="28"/>
          <w:szCs w:val="28"/>
          <w:lang w:val="nl-NL"/>
        </w:rPr>
        <w:t xml:space="preserve">4. Bổ sung vào điểm 3 Mục III như sau: </w:t>
      </w:r>
    </w:p>
    <w:p w:rsidR="00473BD1" w:rsidRDefault="00473BD1" w:rsidP="00473BD1">
      <w:pPr>
        <w:spacing w:before="120" w:after="120"/>
        <w:ind w:firstLine="720"/>
        <w:jc w:val="both"/>
        <w:rPr>
          <w:sz w:val="28"/>
          <w:szCs w:val="28"/>
        </w:rPr>
      </w:pPr>
      <w:r>
        <w:rPr>
          <w:sz w:val="28"/>
          <w:szCs w:val="28"/>
          <w:lang w:val="nl-NL"/>
        </w:rPr>
        <w:t xml:space="preserve">“3. Thủ tục cấp chứng nhận đủ điều kiện kinh doanh của doanh nghiệp kinh doanh hoạt động thể thao theo quy định tại khoản 5 Điều 55 Luật Thể dục, thể thao. </w:t>
      </w:r>
      <w:r>
        <w:rPr>
          <w:sz w:val="28"/>
          <w:szCs w:val="28"/>
        </w:rPr>
        <w:t xml:space="preserve">Hồ sơ được lập thành 01 bộ, </w:t>
      </w:r>
      <w:r>
        <w:rPr>
          <w:sz w:val="28"/>
          <w:szCs w:val="28"/>
          <w:lang w:val="nl-NL"/>
        </w:rPr>
        <w:t xml:space="preserve">nộp trực tiếp hoặc gửi qua đường bưu điện đến </w:t>
      </w:r>
      <w:r>
        <w:rPr>
          <w:sz w:val="28"/>
          <w:szCs w:val="28"/>
        </w:rPr>
        <w:t>Sở Văn hóa, Thể thao và Du lịch nơi doanh nghiệp đặt trụ sở chính”.</w:t>
      </w:r>
    </w:p>
    <w:p w:rsidR="00473BD1" w:rsidRDefault="00473BD1" w:rsidP="00473BD1">
      <w:pPr>
        <w:spacing w:before="120" w:after="120"/>
        <w:ind w:firstLine="720"/>
        <w:jc w:val="both"/>
        <w:rPr>
          <w:sz w:val="28"/>
          <w:szCs w:val="28"/>
        </w:rPr>
      </w:pPr>
      <w:r>
        <w:rPr>
          <w:b/>
          <w:bCs/>
          <w:spacing w:val="8"/>
          <w:sz w:val="28"/>
          <w:szCs w:val="28"/>
        </w:rPr>
        <w:t>Điều 2. Tổ chức thực hiện</w:t>
      </w:r>
    </w:p>
    <w:p w:rsidR="00473BD1" w:rsidRDefault="00473BD1" w:rsidP="00473BD1">
      <w:pPr>
        <w:spacing w:before="120" w:after="120"/>
        <w:ind w:firstLine="720"/>
        <w:jc w:val="both"/>
        <w:rPr>
          <w:sz w:val="28"/>
          <w:szCs w:val="28"/>
        </w:rPr>
      </w:pPr>
      <w:r>
        <w:rPr>
          <w:sz w:val="28"/>
          <w:szCs w:val="28"/>
          <w:lang w:val="nl-NL"/>
        </w:rPr>
        <w:t>1. Thông tư này có hiệu lực thi hành từ ngày 20 tháng 8 năm 2011.</w:t>
      </w:r>
    </w:p>
    <w:p w:rsidR="00473BD1" w:rsidRDefault="00473BD1" w:rsidP="00473BD1">
      <w:pPr>
        <w:spacing w:before="120" w:after="120"/>
        <w:ind w:firstLine="720"/>
        <w:jc w:val="both"/>
        <w:rPr>
          <w:sz w:val="28"/>
          <w:szCs w:val="28"/>
        </w:rPr>
      </w:pPr>
      <w:r>
        <w:rPr>
          <w:sz w:val="28"/>
          <w:szCs w:val="28"/>
          <w:lang w:val="nl-NL"/>
        </w:rPr>
        <w:t>2. Trong quá trình thực hiện, cơ quan, tổ chức, cá nhân nếu có vướng mắc đề nghị phản ánh về Bộ Văn hóa, Thể thao và Du lịch (qua Tổng cục Thể dục thể thao) để xem xét, giải quyết./.</w:t>
      </w:r>
    </w:p>
    <w:p w:rsidR="00473BD1" w:rsidRDefault="00473BD1" w:rsidP="00473BD1">
      <w:pPr>
        <w:spacing w:before="100" w:beforeAutospacing="1" w:after="120"/>
        <w:jc w:val="both"/>
        <w:rPr>
          <w:sz w:val="28"/>
          <w:szCs w:val="28"/>
        </w:rPr>
      </w:pPr>
      <w:r>
        <w:rPr>
          <w:sz w:val="28"/>
          <w:szCs w:val="28"/>
          <w:lang w:val="nl-NL"/>
        </w:rPr>
        <w:t> </w:t>
      </w:r>
    </w:p>
    <w:tbl>
      <w:tblPr>
        <w:tblW w:w="9288" w:type="dxa"/>
        <w:tblCellMar>
          <w:left w:w="0" w:type="dxa"/>
          <w:right w:w="0" w:type="dxa"/>
        </w:tblCellMar>
        <w:tblLook w:val="04A0"/>
      </w:tblPr>
      <w:tblGrid>
        <w:gridCol w:w="5004"/>
        <w:gridCol w:w="4284"/>
      </w:tblGrid>
      <w:tr w:rsidR="00473BD1" w:rsidTr="009142BE">
        <w:tc>
          <w:tcPr>
            <w:tcW w:w="5004" w:type="dxa"/>
            <w:tcMar>
              <w:top w:w="0" w:type="dxa"/>
              <w:left w:w="108" w:type="dxa"/>
              <w:bottom w:w="0" w:type="dxa"/>
              <w:right w:w="108" w:type="dxa"/>
            </w:tcMar>
            <w:hideMark/>
          </w:tcPr>
          <w:p w:rsidR="00473BD1" w:rsidRDefault="00473BD1" w:rsidP="009142BE">
            <w:pPr>
              <w:shd w:val="clear" w:color="auto" w:fill="FFFFFF"/>
              <w:spacing w:after="120"/>
              <w:ind w:right="-351"/>
            </w:pPr>
            <w:r>
              <w:rPr>
                <w:b/>
                <w:bCs/>
                <w:i/>
                <w:iCs/>
              </w:rPr>
              <w:t> </w:t>
            </w:r>
          </w:p>
          <w:p w:rsidR="00473BD1" w:rsidRDefault="00473BD1" w:rsidP="009142BE">
            <w:pPr>
              <w:spacing w:before="100" w:beforeAutospacing="1" w:after="120"/>
            </w:pPr>
            <w:r>
              <w:rPr>
                <w:b/>
                <w:bCs/>
                <w:i/>
                <w:iCs/>
                <w:lang w:val="vi-VN"/>
              </w:rPr>
              <w:t>Nơi nhận:</w:t>
            </w:r>
            <w:r>
              <w:rPr>
                <w:b/>
                <w:bCs/>
                <w:i/>
                <w:iCs/>
              </w:rPr>
              <w:br/>
            </w:r>
            <w:r>
              <w:rPr>
                <w:lang w:val="vi-VN"/>
              </w:rPr>
              <w:t>- Thủ tướng Chính phủ;</w:t>
            </w:r>
            <w:r>
              <w:rPr>
                <w:lang w:val="vi-VN"/>
              </w:rPr>
              <w:br/>
              <w:t>- Các Phó Thủ tướng Chính phủ;</w:t>
            </w:r>
            <w:r>
              <w:rPr>
                <w:lang w:val="vi-VN"/>
              </w:rPr>
              <w:br/>
              <w:t>- Văn phòng Quốc hội;</w:t>
            </w:r>
            <w:r>
              <w:rPr>
                <w:lang w:val="vi-VN"/>
              </w:rPr>
              <w:br/>
              <w:t>- Văn phòng Chủ tịch Nước;</w:t>
            </w:r>
            <w:r>
              <w:rPr>
                <w:lang w:val="vi-VN"/>
              </w:rPr>
              <w:br/>
              <w:t>- Văn phòng Chính phủ;</w:t>
            </w:r>
            <w:r>
              <w:rPr>
                <w:lang w:val="vi-VN"/>
              </w:rPr>
              <w:br/>
              <w:t>- Văn phòng TW Đảng và các Ban của Đảng;</w:t>
            </w:r>
            <w:r>
              <w:rPr>
                <w:lang w:val="vi-VN"/>
              </w:rPr>
              <w:br/>
              <w:t>- Các Bộ, cơ quan ngang Bộ, cơ quan thuộc Chính phủ;</w:t>
            </w:r>
            <w:r>
              <w:rPr>
                <w:lang w:val="vi-VN"/>
              </w:rPr>
              <w:br/>
              <w:t>- Viện Kiểm sát nhân dân tối cao;</w:t>
            </w:r>
            <w:r>
              <w:rPr>
                <w:lang w:val="vi-VN"/>
              </w:rPr>
              <w:br/>
              <w:t>- Toà án nhân dân tối cao;</w:t>
            </w:r>
            <w:r>
              <w:rPr>
                <w:lang w:val="vi-VN"/>
              </w:rPr>
              <w:br/>
              <w:t>- UBND các tỉnh, thành phố trực thuộc Trung ương;</w:t>
            </w:r>
            <w:r>
              <w:rPr>
                <w:lang w:val="vi-VN"/>
              </w:rPr>
              <w:br/>
              <w:t>- Các Sở Văn hoá, Thể thao và Du lịch;</w:t>
            </w:r>
            <w:r>
              <w:rPr>
                <w:lang w:val="vi-VN"/>
              </w:rPr>
              <w:br/>
              <w:t>- Công báo, Cổng thông tin điện tử Chính phủ;</w:t>
            </w:r>
            <w:r>
              <w:rPr>
                <w:lang w:val="vi-VN"/>
              </w:rPr>
              <w:br/>
              <w:t>- Cục Kiểm tra VBQPPL - Bộ Tư pháp;</w:t>
            </w:r>
            <w:r>
              <w:rPr>
                <w:lang w:val="vi-VN"/>
              </w:rPr>
              <w:br/>
              <w:t>- Các cơ quan, đơn vị thuộc Bộ;</w:t>
            </w:r>
            <w:r>
              <w:rPr>
                <w:lang w:val="vi-VN"/>
              </w:rPr>
              <w:br/>
            </w:r>
            <w:r>
              <w:t>- Lưu: VT, TCTDTT, PL (200).</w:t>
            </w:r>
          </w:p>
        </w:tc>
        <w:tc>
          <w:tcPr>
            <w:tcW w:w="4284" w:type="dxa"/>
            <w:tcMar>
              <w:top w:w="0" w:type="dxa"/>
              <w:left w:w="108" w:type="dxa"/>
              <w:bottom w:w="0" w:type="dxa"/>
              <w:right w:w="108" w:type="dxa"/>
            </w:tcMar>
            <w:hideMark/>
          </w:tcPr>
          <w:p w:rsidR="00473BD1" w:rsidRDefault="00473BD1" w:rsidP="009142BE">
            <w:pPr>
              <w:spacing w:before="100" w:beforeAutospacing="1" w:after="120"/>
              <w:jc w:val="center"/>
              <w:rPr>
                <w:b/>
                <w:bCs/>
                <w:i/>
                <w:sz w:val="26"/>
                <w:szCs w:val="28"/>
              </w:rPr>
            </w:pPr>
            <w:r>
              <w:rPr>
                <w:b/>
                <w:bCs/>
                <w:sz w:val="28"/>
                <w:szCs w:val="28"/>
              </w:rPr>
              <w:t>BỘ TRƯỞNG</w:t>
            </w:r>
            <w:r>
              <w:rPr>
                <w:b/>
                <w:bCs/>
                <w:sz w:val="28"/>
                <w:szCs w:val="28"/>
              </w:rPr>
              <w:br/>
            </w:r>
            <w:r>
              <w:rPr>
                <w:b/>
                <w:bCs/>
                <w:sz w:val="28"/>
                <w:szCs w:val="28"/>
              </w:rPr>
              <w:br/>
            </w:r>
            <w:r>
              <w:rPr>
                <w:b/>
                <w:bCs/>
                <w:sz w:val="28"/>
                <w:szCs w:val="28"/>
              </w:rPr>
              <w:br/>
            </w:r>
            <w:r>
              <w:rPr>
                <w:b/>
                <w:bCs/>
                <w:i/>
                <w:sz w:val="26"/>
                <w:szCs w:val="28"/>
              </w:rPr>
              <w:t>(Đã ký)</w:t>
            </w:r>
          </w:p>
          <w:p w:rsidR="00473BD1" w:rsidRDefault="00473BD1" w:rsidP="009142BE">
            <w:pPr>
              <w:spacing w:before="100" w:beforeAutospacing="1" w:after="120"/>
              <w:jc w:val="center"/>
              <w:rPr>
                <w:sz w:val="28"/>
                <w:szCs w:val="28"/>
              </w:rPr>
            </w:pPr>
            <w:r>
              <w:rPr>
                <w:b/>
                <w:bCs/>
                <w:sz w:val="28"/>
                <w:szCs w:val="28"/>
              </w:rPr>
              <w:br/>
              <w:t>Hoàng Tuấn Anh</w:t>
            </w:r>
          </w:p>
        </w:tc>
      </w:tr>
    </w:tbl>
    <w:p w:rsidR="00473BD1" w:rsidRDefault="00473BD1" w:rsidP="00473BD1">
      <w:pPr>
        <w:spacing w:before="100" w:beforeAutospacing="1" w:after="120"/>
        <w:jc w:val="both"/>
        <w:rPr>
          <w:sz w:val="28"/>
          <w:szCs w:val="28"/>
        </w:rPr>
      </w:pPr>
      <w:r>
        <w:rPr>
          <w:sz w:val="28"/>
          <w:szCs w:val="28"/>
          <w:lang w:val="nl-NL"/>
        </w:rPr>
        <w:t> </w:t>
      </w:r>
    </w:p>
    <w:p w:rsidR="00C46589" w:rsidRDefault="00C46589"/>
    <w:sectPr w:rsidR="00C46589" w:rsidSect="00746006">
      <w:pgSz w:w="12240" w:h="15840"/>
      <w:pgMar w:top="720" w:right="144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73BD1"/>
    <w:rsid w:val="00473BD1"/>
    <w:rsid w:val="0060562E"/>
    <w:rsid w:val="00746006"/>
    <w:rsid w:val="00C46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D1"/>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2014-10-09T11:13:00Z</dcterms:created>
  <dcterms:modified xsi:type="dcterms:W3CDTF">2014-10-09T11:19:00Z</dcterms:modified>
</cp:coreProperties>
</file>